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57</w:t>
      </w:r>
    </w:p>
    <w:p>
      <w:r>
        <w:t>Bundesgericht (BGE), 1994-04-12, DE</w:t>
      </w:r>
    </w:p>
    <w:p>
      <w:r>
        <w:rPr>
          <w:b/>
        </w:rPr>
        <w:t xml:space="preserve">Quelle: </w:t>
      </w:r>
      <w:r>
        <w:t>https://mcp.opencaselaw.ch/entscheid/bge_120 III 57</w:t>
      </w:r>
    </w:p>
    <w:p>
      <w:r>
        <w:t>FR: ATF 120 III 57</w:t>
      </w:r>
    </w:p>
    <w:p>
      <w:r>
        <w:t>IT: DTF 120 III 57</w:t>
      </w:r>
    </w:p>
    <w:p>
      <w:pPr>
        <w:pStyle w:val="Heading2"/>
      </w:pPr>
      <w:r>
        <w:t>Regeste</w:t>
      </w:r>
    </w:p>
    <w:p>
      <w:r>
        <w:t>Regeste Zustellung einer Schätzungsurkunde (Art. 34 und Art. 64 ff. SchKG). Die Schätzungsurkunde ist den am Betreibungsverfahren Beteiligten als Mitteilung und nicht als Betreibungsurkunde zuzustellen.</w:t>
      </w:r>
    </w:p>
    <w:p>
      <w:pPr>
        <w:pStyle w:val="Heading2"/>
      </w:pPr>
      <w:r>
        <w:t>Erwägungen</w:t>
      </w:r>
    </w:p>
    <w:p>
      <w:r>
        <w:rPr>
          <w:b/>
        </w:rPr>
        <w:t>E. 2</w:t>
      </w:r>
    </w:p>
    <w:p>
      <w:r>
        <w:t>Nach Ansicht der Rekurrentin handelt es sich bei der Schätzungsurkunde um eine Betreibungsurkunde, die ihr nach den Erfordernissen von Art. 64 ff. SchKG hätte zugestellt werden müssen. a) Das Betreibungsamt setzt sich durch Mitteilung ( Art. 34 SchKG ), öffentliche Bekanntmachung ( Art. 35 SchKG ) und formelle Zustellung ( Art. 64 ff. SchKG ) mit den am Betreibungsverfahren Beteiligten in Verbindung. Die Vorschriften über die Zustellungsform und die Zustellungsempfänger sind einzig für Betreibungsurkunden zu beachten, was sich aus der Bedeutung des Inhalts dieser Urkunden ergibt. Das Gesetz zählt die Fälle nicht auf, in denen sich das Betreibungsamt der formellen Zustellung bedienen muss. Sicher gehören der Zahlungsbefehl und die Konkursandrohung dazu (Art. 71/72 SchKG, Art. 160/161 SchKG; BGE 97 III 107 E. 1 S. 109). JAEGER zählt überdies alle Mitteilungen des Betreibungsamtes an den Schuldner über die für ihn wichtigen Vorgänge zu den Betreibungsurkunden (Das Bundesgesetz betreffend Schuldbetreibung und Konkurs, 1. Band, 3.A. 1911, S. 137 N. 1). Nach AMONN (Grundriss des Schuldbetreibungs- und Konkursrechts, 5.A. Bern 1993, S. 104 N. 7 und N. 8) gibt es hingegen ausser dem Zahlungsbefehl und der Konkursandrohung keine weitern Betreibungsurkunden im Sinne von Art. 64 ff. SchKG , da nur die beiden genannten den Schuldner zur Befriedigung des Gläubigers auffordern und gleichzeitig auf bestimmte Rechtsfolgen im Unterlassungsfall hinweisen. Gleicher Ansicht - unter Hinweis auf die Gesetzesmaterialien - ist auch BLUMENSTEIN (Handbuch des Schweizerischen Schuldbetreibungsrechts, Bern 1911, S. 220). JEKER möchte jede vom Betreibungsamt zu erlassende Verlautbarung, deren Kenntnisnahme durch den Schuldner unerlässliche gesetzliche Voraussetzung für den Fortgang des Betreibungsverfahrens bildet, als Betreibungsurkunde verstehen; darunter fallen demnach - neben dem Zahlungsbefehl und der Konkursandrohung - auch die Pfändungsankündigung, die Pfändungsurkunde und die Mitteilung des BGE 120 III 57 S. 59 Verwertungsbegehrens (Die Zustellung der Betreibungsurkunden nach schweizerischem Schuldbetreibungs- und Konkursgesetz, Diss. Bern 1942, S. 10/11). GILLIÉRON (Poursuite pour dettes, faillite et concordat, 3.A. Lausanne 1993, S. 102) und FRITZSCHE/WALDER (Schuldbetreibung und Konkurs nach schweizerischem Recht, Band 1, Zürich 1984, S. 170 N. 30) stufen die praktische Bedeutung dieser Frage als gering ein. b) Im vorliegenden Fall ist der Rekurrentin im Anschluss an das Verwertungsbegehren der Gläubigerin die Schätzung der Faustpfänder bekanntgegeben worden. Diese Vorkehr des Betreibungsamtes war einzig mit dem Hinweis verbunden, dass die Schätzung als anerkannt gelte, falls nicht innert zehn Tagen dagegen eine Beschwerde beim Bezirksgericht eingereicht werde. Eine Aufforderung an die Rekurrentin, in irgendeiner Weise tätig zu werden, insbesondere die Gläubigerin zu befriedigen, war damit nicht verbunden. Die Zustellung der Schätzungsurkunde ist demnach weder auf die Einleitung noch die Fortsetzung des Verfahrens ausgerichtet, das seinerseits darauf abzielt, den Gläubiger auf dem Weg der Zwangsvollstreckung aus dem Vermögen des Schuldners zu befriedigen, und dadurch in die Rechtsstellung des Schuldners einzugreifen; eine Betreibungshandlung im Sinne der Rechtsprechung ist nicht gegeben ( BGE 115 III 11 E. 1b S. 13). Setzt das Betreibungsamt die Beteiligten über das Ergebnis der Schätzung in Kenntnis, so handelt es sich hiebei vielmehr um eine der zahlreichen Tätigkeiten, die sich aus der gesetzeskonformen Durchführung des Betreibungsverfahrens ergeben. Mit ihr sind jedoch keinesfalls Rechtswirkungen verbunden, die eine formelle Zustellung nach Art. 64 ff. SchKG erfordern. Damit brauchte das Betreibungsamt insbesondere nicht zu prüfen, wer seitens der Rekurrentin berechtigt war, die Schätzungsurkunde in Empfang zu nehmen ( BGE 119 III 57 E. 3c S. 59 mit Hinweisen). Es obliegt allein der Rekurrentin, ihre betriebsinternen Abläufe derart zu gestalten und im Auge zu behalten, dass sie eine nach Art. 34 SchKG erfolgte Mitteilung des Betreibungsamtes auch tatsächlich zur Kenntnis nehmen kann. Dies gilt umsomehr, als der in Frage stehende Einschreibebrief in einer hängigen, ja bereits fortgeschrittenen Betreibung, erfolgt ist. Der Rekurs erweist sich demnach insgesamt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